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noProof/>
          <w:szCs w:val="20"/>
          <w:lang w:eastAsia="nb-NO"/>
        </w:rPr>
        <w:drawing>
          <wp:inline distT="0" distB="0" distL="0" distR="0">
            <wp:extent cx="3171825" cy="617855"/>
            <wp:effectExtent l="0" t="0" r="9525" b="0"/>
            <wp:docPr id="1" name="Bilde 1" descr="SSBlogo-sor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SBlogo-sort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93054B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03</w:t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nb-NO"/>
        </w:rPr>
        <w:t>januar</w:t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 xml:space="preserve"> 201</w:t>
      </w:r>
      <w:r>
        <w:rPr>
          <w:rFonts w:ascii="Times New Roman" w:eastAsia="Times New Roman" w:hAnsi="Times New Roman" w:cs="Times New Roman"/>
          <w:szCs w:val="20"/>
          <w:lang w:eastAsia="nb-NO"/>
        </w:rPr>
        <w:t>6</w:t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="00277E90" w:rsidRPr="00277E90">
        <w:rPr>
          <w:rFonts w:ascii="Times New Roman" w:eastAsia="Times New Roman" w:hAnsi="Times New Roman" w:cs="Times New Roman"/>
          <w:szCs w:val="20"/>
          <w:lang w:eastAsia="nb-NO"/>
        </w:rPr>
        <w:tab/>
        <w:t xml:space="preserve">                                          Gjeld</w:t>
      </w:r>
      <w:r>
        <w:rPr>
          <w:rFonts w:ascii="Times New Roman" w:eastAsia="Times New Roman" w:hAnsi="Times New Roman" w:cs="Times New Roman"/>
          <w:szCs w:val="20"/>
          <w:lang w:eastAsia="nb-NO"/>
        </w:rPr>
        <w:t>er f.o.m. rapporteringsåret 2016</w:t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sz w:val="40"/>
          <w:szCs w:val="20"/>
          <w:lang w:eastAsia="nb-NO"/>
        </w:rPr>
        <w:t xml:space="preserve">NÆRINGSLIVETS RAPPORTERING OM UTENRIKSØKONOMI 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sz w:val="56"/>
          <w:szCs w:val="20"/>
          <w:lang w:eastAsia="nb-NO"/>
        </w:rPr>
        <w:t xml:space="preserve">UT-rapportering </w:t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6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RAPPORTER/KODELISTER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FOR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>ÅRSRAPPORTØRER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  <w:t xml:space="preserve">Versjon 08 </w:t>
      </w:r>
    </w:p>
    <w:p w:rsidR="00277E90" w:rsidRPr="00277E90" w:rsidRDefault="00277E90" w:rsidP="00277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nb-NO"/>
        </w:rPr>
      </w:pPr>
    </w:p>
    <w:p w:rsid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Cs w:val="20"/>
          <w:lang w:eastAsia="nb-NO"/>
        </w:rPr>
        <w:br w:type="page"/>
      </w:r>
      <w:r w:rsidRPr="00277E90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lastRenderedPageBreak/>
        <w:t>INNHOLDSFORTEGNELSE</w:t>
      </w:r>
    </w:p>
    <w:p w:rsidR="00757F54" w:rsidRDefault="00757F54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</w:p>
    <w:p w:rsidR="00757F54" w:rsidRDefault="00757F54" w:rsidP="00277E90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ENDRINGER I KODELISTENE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3</w:t>
      </w:r>
    </w:p>
    <w:p w:rsidR="00757F54" w:rsidRDefault="00757F54" w:rsidP="00277E90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LISTE OVER FORKORTELSER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3</w:t>
      </w:r>
    </w:p>
    <w:p w:rsidR="00757F54" w:rsidRDefault="00757F54" w:rsidP="00277E90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ÅRSRAPPORT (DV)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….4</w:t>
      </w:r>
    </w:p>
    <w:p w:rsidR="00757F54" w:rsidRDefault="00757F54" w:rsidP="00757F54">
      <w:pPr>
        <w:pStyle w:val="Listeavsnitt"/>
        <w:numPr>
          <w:ilvl w:val="0"/>
          <w:numId w:val="6"/>
        </w:num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Rapportstruktur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4</w:t>
      </w:r>
    </w:p>
    <w:p w:rsidR="00757F54" w:rsidRDefault="00757F54" w:rsidP="00757F54">
      <w:pPr>
        <w:pStyle w:val="Listeavsnitt"/>
        <w:numPr>
          <w:ilvl w:val="0"/>
          <w:numId w:val="6"/>
        </w:num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Nærmere forklaring av variablene og feltene i rapporten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4</w:t>
      </w:r>
    </w:p>
    <w:p w:rsidR="00757F54" w:rsidRDefault="00757F54" w:rsidP="00757F54">
      <w:pPr>
        <w:pStyle w:val="Listeavsnitt"/>
        <w:numPr>
          <w:ilvl w:val="0"/>
          <w:numId w:val="6"/>
        </w:num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Struktur på fil som skal oversendes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…………………………………………………………………...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6</w:t>
      </w:r>
    </w:p>
    <w:p w:rsidR="00757F54" w:rsidRPr="00757F54" w:rsidRDefault="00757F54" w:rsidP="00757F54">
      <w:pPr>
        <w:tabs>
          <w:tab w:val="right" w:leader="do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>
        <w:rPr>
          <w:rFonts w:ascii="Times New Roman" w:eastAsia="Times New Roman" w:hAnsi="Times New Roman" w:cs="Times New Roman"/>
          <w:szCs w:val="20"/>
          <w:lang w:eastAsia="nb-NO"/>
        </w:rPr>
        <w:t>KODELISTE</w:t>
      </w:r>
      <w:proofErr w:type="gramStart"/>
      <w:r>
        <w:rPr>
          <w:rFonts w:ascii="Times New Roman" w:eastAsia="Times New Roman" w:hAnsi="Times New Roman" w:cs="Times New Roman"/>
          <w:szCs w:val="20"/>
          <w:lang w:eastAsia="nb-NO"/>
        </w:rPr>
        <w:t>…………………………………………………………………………………………………...</w:t>
      </w:r>
      <w:proofErr w:type="gramEnd"/>
      <w:r>
        <w:rPr>
          <w:rFonts w:ascii="Times New Roman" w:eastAsia="Times New Roman" w:hAnsi="Times New Roman" w:cs="Times New Roman"/>
          <w:szCs w:val="20"/>
          <w:lang w:eastAsia="nb-NO"/>
        </w:rPr>
        <w:t>7</w:t>
      </w:r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277E90" w:rsidRDefault="00277E90" w:rsidP="00277E90">
      <w:pPr>
        <w:keepNext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br w:type="page"/>
      </w:r>
      <w:bookmarkStart w:id="0" w:name="_Toc115062100"/>
      <w:r w:rsidRPr="00277E90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lastRenderedPageBreak/>
        <w:t>ENDRINGER I KODELISTENE</w:t>
      </w:r>
      <w:bookmarkEnd w:id="0"/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Default="0093054B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Kodelistene kan bli endret. 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>Eventuelle endringer i kode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  <w:t xml:space="preserve">listene vil bli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oppført i dette dokumentet</w:t>
      </w:r>
      <w:r w:rsidR="00277E90"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 Endringer kan bli påkrevd ved revisjon av regnskapslov, Skattedirektoratets næringsoppgave, internasjonale forpliktelser etc. Postkodene henviser til postene i Skattedirektoratets næringsoppgave (NO).  </w:t>
      </w:r>
    </w:p>
    <w:p w:rsidR="0093054B" w:rsidRDefault="0093054B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3054B" w:rsidRPr="00277E90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Under del 5</w:t>
      </w:r>
      <w:r w:rsidRPr="00277E90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Tilgang/avgang av immaterielle eiendeler</w:t>
      </w:r>
      <w:r w:rsidRPr="00277E90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:</w:t>
      </w:r>
    </w:p>
    <w:p w:rsidR="0093054B" w:rsidRPr="00277E90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  <w:t>Nye poster:</w:t>
      </w:r>
    </w:p>
    <w:p w:rsidR="0093054B" w:rsidRPr="00277E90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50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04000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Pr="00180932">
        <w:rPr>
          <w:rFonts w:ascii="Times New Roman" w:hAnsi="Times New Roman" w:cs="Times New Roman"/>
          <w:sz w:val="24"/>
          <w:szCs w:val="24"/>
        </w:rPr>
        <w:t>Kjøp</w:t>
      </w:r>
      <w:proofErr w:type="gramEnd"/>
      <w:r w:rsidRPr="00180932">
        <w:rPr>
          <w:rFonts w:ascii="Times New Roman" w:hAnsi="Times New Roman" w:cs="Times New Roman"/>
          <w:sz w:val="24"/>
          <w:szCs w:val="24"/>
        </w:rPr>
        <w:t xml:space="preserve"> av konsesjoner, patenter og lisenser</w:t>
      </w:r>
    </w:p>
    <w:p w:rsidR="0093054B" w:rsidRPr="00180932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50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04100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Pr="00180932">
        <w:rPr>
          <w:rFonts w:ascii="Times New Roman" w:hAnsi="Times New Roman" w:cs="Times New Roman"/>
          <w:sz w:val="24"/>
          <w:szCs w:val="24"/>
        </w:rPr>
        <w:t>Salg</w:t>
      </w:r>
      <w:proofErr w:type="gramEnd"/>
      <w:r w:rsidRPr="00180932">
        <w:rPr>
          <w:rFonts w:ascii="Times New Roman" w:hAnsi="Times New Roman" w:cs="Times New Roman"/>
          <w:sz w:val="24"/>
          <w:szCs w:val="24"/>
        </w:rPr>
        <w:t xml:space="preserve"> av konsesjoner, patenter og lisenser</w:t>
      </w:r>
    </w:p>
    <w:p w:rsidR="0093054B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3054B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Poster som fjernes</w:t>
      </w:r>
    </w:p>
    <w:p w:rsidR="0093054B" w:rsidRPr="0066132C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50 04000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Nettokjøp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 konsesjoner, patenter, lisenser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o.l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direkte fra utlending</w:t>
      </w:r>
    </w:p>
    <w:p w:rsidR="0093054B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93054B" w:rsidRPr="00277E90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Under del 6</w:t>
      </w:r>
      <w:r w:rsidRPr="00277E90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.  Fordringer og gjeld overfor utlandet:</w:t>
      </w:r>
    </w:p>
    <w:p w:rsidR="0093054B" w:rsidRPr="00277E90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4"/>
          <w:szCs w:val="20"/>
          <w:lang w:eastAsia="nb-NO"/>
        </w:rPr>
        <w:t>Nye poster:</w:t>
      </w:r>
    </w:p>
    <w:p w:rsidR="0093054B" w:rsidRPr="00180932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4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15000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Pr="00180932">
        <w:rPr>
          <w:rFonts w:ascii="Times New Roman" w:hAnsi="Times New Roman" w:cs="Times New Roman"/>
          <w:sz w:val="24"/>
          <w:szCs w:val="24"/>
        </w:rPr>
        <w:t>Kundefordringer</w:t>
      </w:r>
      <w:proofErr w:type="gramEnd"/>
      <w:r w:rsidRPr="00180932">
        <w:rPr>
          <w:rFonts w:ascii="Times New Roman" w:hAnsi="Times New Roman" w:cs="Times New Roman"/>
          <w:sz w:val="24"/>
          <w:szCs w:val="24"/>
        </w:rPr>
        <w:t xml:space="preserve"> </w:t>
      </w:r>
      <w:r w:rsidRPr="00180932">
        <w:rPr>
          <w:rFonts w:ascii="Times New Roman" w:hAnsi="Times New Roman" w:cs="Times New Roman"/>
          <w:color w:val="000000"/>
          <w:sz w:val="24"/>
          <w:szCs w:val="24"/>
        </w:rPr>
        <w:t xml:space="preserve">på utlandet </w:t>
      </w:r>
      <w:r w:rsidRPr="00180932">
        <w:rPr>
          <w:rFonts w:ascii="Times New Roman" w:hAnsi="Times New Roman" w:cs="Times New Roman"/>
          <w:sz w:val="24"/>
          <w:szCs w:val="24"/>
        </w:rPr>
        <w:t>eksklusive på selskap i samme konsern</w:t>
      </w:r>
    </w:p>
    <w:p w:rsidR="0093054B" w:rsidRPr="00180932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64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15010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Pr="00180932">
        <w:rPr>
          <w:rFonts w:ascii="Times New Roman" w:hAnsi="Times New Roman" w:cs="Times New Roman"/>
          <w:sz w:val="24"/>
          <w:szCs w:val="24"/>
        </w:rPr>
        <w:t>Kundefordringer</w:t>
      </w:r>
      <w:proofErr w:type="gramEnd"/>
      <w:r w:rsidRPr="00180932">
        <w:rPr>
          <w:rFonts w:ascii="Times New Roman" w:hAnsi="Times New Roman" w:cs="Times New Roman"/>
          <w:sz w:val="24"/>
          <w:szCs w:val="24"/>
        </w:rPr>
        <w:t xml:space="preserve"> </w:t>
      </w:r>
      <w:r w:rsidRPr="00180932">
        <w:rPr>
          <w:rFonts w:ascii="Times New Roman" w:hAnsi="Times New Roman" w:cs="Times New Roman"/>
          <w:color w:val="000000"/>
          <w:sz w:val="24"/>
          <w:szCs w:val="24"/>
        </w:rPr>
        <w:t xml:space="preserve">på utlandet </w:t>
      </w:r>
      <w:r w:rsidRPr="00180932">
        <w:rPr>
          <w:rFonts w:ascii="Times New Roman" w:hAnsi="Times New Roman" w:cs="Times New Roman"/>
          <w:sz w:val="24"/>
          <w:szCs w:val="24"/>
        </w:rPr>
        <w:t>på selskap i samme konsern</w:t>
      </w:r>
    </w:p>
    <w:p w:rsidR="0093054B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</w:p>
    <w:p w:rsidR="0093054B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Poster som fjernes</w:t>
      </w:r>
    </w:p>
    <w:p w:rsidR="0093054B" w:rsidRPr="0066132C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6132C">
        <w:rPr>
          <w:rFonts w:ascii="Times New Roman" w:eastAsia="Times New Roman" w:hAnsi="Times New Roman" w:cs="Times New Roman"/>
          <w:sz w:val="24"/>
          <w:szCs w:val="20"/>
          <w:lang w:eastAsia="nb-NO"/>
        </w:rPr>
        <w:t>64 15000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Kundefordringer på utlandet, inkl. i samme konsern</w:t>
      </w:r>
    </w:p>
    <w:p w:rsidR="0093054B" w:rsidRPr="00277E90" w:rsidRDefault="0093054B" w:rsidP="0027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3054B" w:rsidRPr="00277E90" w:rsidRDefault="0093054B" w:rsidP="00930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bookmarkStart w:id="1" w:name="_Toc115062101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UT-rapporteringen 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skal kun </w:t>
      </w:r>
      <w:proofErr w:type="spellStart"/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>utenlandsdelen</w:t>
      </w:r>
      <w:proofErr w:type="spellEnd"/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 postene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tas med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, med unntak av de postene for rapportørens totale egenkapital under del 7. </w:t>
      </w:r>
    </w:p>
    <w:p w:rsidR="00277E90" w:rsidRPr="00277E90" w:rsidRDefault="00277E90" w:rsidP="00277E90">
      <w:pPr>
        <w:keepNext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t>LISTE OVER FORKORTELSER</w:t>
      </w:r>
      <w:bookmarkEnd w:id="1"/>
    </w:p>
    <w:p w:rsidR="00277E90" w:rsidRPr="00277E90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NO: </w:t>
      </w:r>
      <w:r w:rsidRPr="00277E90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Skattedirektoratets næringsoppgave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</w:pPr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 xml:space="preserve">CPA: </w:t>
      </w:r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ab/>
        <w:t xml:space="preserve">EUs standard for </w:t>
      </w:r>
      <w:proofErr w:type="spellStart"/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produktklassifikasjon</w:t>
      </w:r>
      <w:proofErr w:type="spellEnd"/>
      <w:r w:rsidRPr="00277E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, "Classification of Products by Activity"</w:t>
      </w:r>
    </w:p>
    <w:p w:rsidR="00277E90" w:rsidRPr="0093054B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3054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ISO: </w:t>
      </w:r>
      <w:r w:rsidRPr="0093054B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 xml:space="preserve">Angir en internasjonal standard utgitt av "International Organization for </w:t>
      </w:r>
      <w:proofErr w:type="spellStart"/>
      <w:r w:rsidRPr="0093054B">
        <w:rPr>
          <w:rFonts w:ascii="Times New Roman" w:eastAsia="Times New Roman" w:hAnsi="Times New Roman" w:cs="Times New Roman"/>
          <w:sz w:val="24"/>
          <w:szCs w:val="20"/>
          <w:lang w:eastAsia="nb-NO"/>
        </w:rPr>
        <w:t>Standardization</w:t>
      </w:r>
      <w:proofErr w:type="spellEnd"/>
      <w:r w:rsidRPr="0093054B">
        <w:rPr>
          <w:rFonts w:ascii="Times New Roman" w:eastAsia="Times New Roman" w:hAnsi="Times New Roman" w:cs="Times New Roman"/>
          <w:sz w:val="24"/>
          <w:szCs w:val="20"/>
          <w:lang w:eastAsia="nb-NO"/>
        </w:rPr>
        <w:t>" som er et internasjonalt standardsettende organ</w:t>
      </w:r>
    </w:p>
    <w:p w:rsidR="00277E90" w:rsidRPr="0093054B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93054B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93054B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93054B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77E90" w:rsidRPr="0093054B" w:rsidRDefault="00277E90" w:rsidP="00277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</w:p>
    <w:p w:rsidR="00277E90" w:rsidRPr="0093054B" w:rsidRDefault="00277E90" w:rsidP="00277E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bookmarkStart w:id="2" w:name="_Toc67801433"/>
      <w:bookmarkStart w:id="3" w:name="_Toc70229023"/>
      <w:bookmarkStart w:id="4" w:name="_Toc115062109"/>
      <w:r w:rsidRPr="0093054B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t>Ut-rapportering</w:t>
      </w:r>
      <w:bookmarkEnd w:id="2"/>
      <w:bookmarkEnd w:id="3"/>
      <w:bookmarkEnd w:id="4"/>
    </w:p>
    <w:p w:rsidR="00277E90" w:rsidRPr="0093054B" w:rsidRDefault="00277E90" w:rsidP="00277E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</w:pPr>
      <w:bookmarkStart w:id="5" w:name="_Toc115062110"/>
      <w:r w:rsidRPr="0093054B">
        <w:rPr>
          <w:rFonts w:ascii="Times New Roman" w:eastAsia="Times New Roman" w:hAnsi="Times New Roman" w:cs="Times New Roman"/>
          <w:b/>
          <w:noProof/>
          <w:kern w:val="28"/>
          <w:sz w:val="32"/>
          <w:szCs w:val="20"/>
          <w:lang w:eastAsia="nb-NO"/>
        </w:rPr>
        <w:t>Årsrapport (DV)</w:t>
      </w:r>
      <w:bookmarkEnd w:id="5"/>
    </w:p>
    <w:p w:rsidR="00277E90" w:rsidRPr="0093054B" w:rsidRDefault="00277E90" w:rsidP="002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bookmarkStart w:id="6" w:name="_Toc115062111"/>
      <w:r w:rsidRPr="00277E90"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  <w:t>1. Rapportstruktur</w:t>
      </w:r>
      <w:bookmarkEnd w:id="6"/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lastRenderedPageBreak/>
        <w:t>UT-rapporteringen er inndelt i en identifikasjonsvariabel, to klassifikasjonsvariable og en beløpsvariabel.  Disse variablene er igjen inndelt i felter.  Variablene har følgende innhold:</w:t>
      </w:r>
    </w:p>
    <w:p w:rsidR="00277E90" w:rsidRPr="00277E90" w:rsidRDefault="00277E90" w:rsidP="00277E90">
      <w:pPr>
        <w:suppressAutoHyphens/>
        <w:spacing w:after="0" w:line="235" w:lineRule="atLeast"/>
        <w:ind w:left="2380" w:hanging="2211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ind w:left="2552" w:hanging="2552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-   Identifikasjonsvariabel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Identifiserer rapporteringsenhet, perioden rapporten gjelder for,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rapporterings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softHyphen/>
        <w:t>alternativ</w:t>
      </w:r>
      <w:proofErr w:type="spellEnd"/>
      <w:r w:rsidR="00F23B4F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,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versjon av kodelistene </w:t>
      </w:r>
      <w:r w:rsidR="00F23B4F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og skjematype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(felt 1 - 5).  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-   Klassifikasjonsvariabel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1: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Definerer regnskapspostene (felt 6 - 8).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ind w:left="2552" w:hanging="2552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-   Klassifikasjonsvariabel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2: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Definerer statistiske kjennetegn ved valutakode og landkode (felt 9 - 11).</w:t>
      </w: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-   Beløpsvariabel</w:t>
      </w:r>
      <w:proofErr w:type="gramEnd"/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:</w:t>
      </w:r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Definerer beløpet (felt 12).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bookmarkStart w:id="7" w:name="_Toc115062112"/>
      <w:r w:rsidRPr="00277E90"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  <w:t>2. Nærmere forklaring av variablene og feltene i rapporten</w:t>
      </w:r>
      <w:bookmarkEnd w:id="7"/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</w:p>
    <w:p w:rsidR="00277E90" w:rsidRPr="00277E90" w:rsidRDefault="00277E90" w:rsidP="00277E90">
      <w:pPr>
        <w:tabs>
          <w:tab w:val="left" w:pos="2552"/>
        </w:tabs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Identifikasjonsvariabel.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Organisasjonsnummer, rapporteringsperiode og rapporteringsvariant: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Rapportørens organisasjonsnummer - 9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.   Foretakets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nisifrede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organisasjons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softHyphen/>
        <w:t xml:space="preserve">nummer som tildeles av Foretaksregisteret i Brønnøysund. 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2: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Rapporteringsperiode - 6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.  Rapporteringsperioden angis med årstall (4 siffer) og nummer på periode (2 siffer).  I årsrapportene benyttes periode 00.  Årsrapporten for 2014 skal således kodes 201400.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3: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Rapporteringsvariant - 2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.  Identifisering av rapporteringsalternativ.  For rapportører som har mellomværende med utlandet, og skal rapportere dette, angis valg av alternativ med D i første posisjon.  I siste posisjon skal rapportøren angi om valutafordeling av balanseposter er valgt. Følgende koder kan benyttes for rapportene i felt 3: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nb-NO"/>
        </w:rPr>
        <w:t>Kode: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1560" w:hanging="156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DV =</w:t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ab/>
        <w:t>Alternativ med valutafordeling av en, flere eller alle balanseposter - gjelder rapportører som har og skal rapportere mellomværende med utlandet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1560" w:hanging="156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1560" w:hanging="1560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4: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Versjon - 2 posisjoner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.  Her skal versjonsnummeret på kodelisten som rapportøren har benyttet oppgis.  Versjonsnummeret er oppgitt nederst på forsiden av kodelistene, og skal angis med to siffer. For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årsrapportering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2014 skal versjonsnummer 08 brukes.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="00E538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="00E538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5:</w:t>
      </w:r>
      <w:r w:rsidR="00E538E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</w:t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Skjematype - 1 posisjon. </w:t>
      </w:r>
      <w:r w:rsidRPr="00277E90">
        <w:rPr>
          <w:rFonts w:ascii="Times New Roman" w:eastAsia="Times New Roman" w:hAnsi="Times New Roman" w:cs="Times New Roman"/>
          <w:bCs/>
          <w:iCs/>
          <w:sz w:val="20"/>
          <w:szCs w:val="20"/>
          <w:lang w:eastAsia="nb-NO"/>
        </w:rPr>
        <w:t>I dette feltet oppgis E. Dette er en intern kode til bruk i SSB.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Klassifikasjonsvariabel 1.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Regnskapsposter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6: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Prefiks - 2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Definerer plass i rapporten.  Følgende koder benyttes i felt 5 i denne rapporten: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Kode:</w:t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3x = Finansinntekter, finanskostnader og gaver fra/til utlandet</w:t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5x = Tilgang/avgang av immaterielle eiendeler</w:t>
      </w:r>
    </w:p>
    <w:p w:rsidR="00277E90" w:rsidRPr="00277E90" w:rsidRDefault="00277E90" w:rsidP="00277E90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6x = Fordringer og gjeld overfor utlandet</w:t>
      </w:r>
    </w:p>
    <w:p w:rsidR="00277E90" w:rsidRPr="00277E90" w:rsidRDefault="00277E90" w:rsidP="00277E90">
      <w:pPr>
        <w:tabs>
          <w:tab w:val="left" w:pos="993"/>
          <w:tab w:val="left" w:pos="1276"/>
          <w:tab w:val="left" w:pos="3969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 xml:space="preserve">7x = Spesifikasjon av balanseposter og rapportørens totale egenkapital.  </w:t>
      </w:r>
      <w:r w:rsidRPr="00277E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 xml:space="preserve">(Spesifikasjon av markedsverdi av børsnoterte utenlandske anleggsaksjer og anleggsandeler i verdipapirfond er kun pliktig i </w:t>
      </w:r>
      <w:proofErr w:type="spellStart"/>
      <w:r w:rsidRPr="00277E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>årsrapporteringen</w:t>
      </w:r>
      <w:proofErr w:type="spellEnd"/>
      <w:r w:rsidRPr="00277E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>, kan alternativt rapporteres i 4. kvartal)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8x = Gevinst/tap og andre avstemmingsposter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ab/>
        <w:t>9x = Transaksjoner direkte mot egenkapitalfond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Cs/>
          <w:sz w:val="20"/>
          <w:szCs w:val="20"/>
          <w:lang w:eastAsia="nb-NO"/>
        </w:rPr>
        <w:tab/>
        <w:t>Første siffer angir del i rapporten, og andre siffer - her markert med x - gir inndeling i hovedkategorier under hver del.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D1CC3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lastRenderedPageBreak/>
        <w:t xml:space="preserve">-   </w:t>
      </w:r>
      <w:r w:rsidRPr="007D1CC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n-NO" w:eastAsia="nb-NO"/>
        </w:rPr>
        <w:t>Felt 7:</w:t>
      </w:r>
      <w:r w:rsidRPr="007D1CC3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 xml:space="preserve">Post - 5 posisjoner.  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Kode for rapporteringspost (jf. kodeliste).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For poster uten referanse til poster i Skattedirektoratets nærings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oppgave (NO) er første siffer i feltet lik 0.  Der det er referanse til nærings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oppgavens poster, er NO-kode benyttet med ett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tilleggssiffer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i siste posisjon.  Er det entydig sammenheng mellom post i UT-rapporteringen og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utenlands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del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av NO-post, er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tilleggssifferet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satt lik 0.  Dersom det er referanse til deler av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uten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lands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del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av NO-post, er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tilleggssifferet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satt lik 1, 2, 3 eller 4.  Dersom det er referanse til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utenlandsdelen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for en sum av NO-poster, er siste NO-post benyttet med 9 som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tilleggs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siffer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.  Dette gjelder kun spesifika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sjon av balanse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poster samt gevinst/tap og andre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avstemmings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poster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under henholdsvis del 7 og 8 i kode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listen.  Referan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sen til balanseposter i NO under del 8 "Gevinst/tap og andre avstemmingsposter" er innført for å knytte gevinstene og tapene - både realiserte og urealiserte - og andre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avstemmings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poster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opp mot de respektive balansepostene. 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Under del 7 finnes følgende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sumpost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  <w:tab w:val="left" w:pos="1701"/>
          <w:tab w:val="left" w:pos="1985"/>
          <w:tab w:val="left" w:pos="2410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UT-kode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NO-koder</w:t>
      </w:r>
    </w:p>
    <w:p w:rsidR="00277E90" w:rsidRPr="00277E90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13509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1313 + 1332 + 1350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 xml:space="preserve">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Under del 8 finnes følgende sumposter: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10"/>
          <w:szCs w:val="20"/>
          <w:lang w:eastAsia="nb-NO"/>
        </w:rPr>
      </w:pPr>
    </w:p>
    <w:p w:rsidR="00277E90" w:rsidRPr="007D1CC3" w:rsidRDefault="00277E90" w:rsidP="00277E90">
      <w:pPr>
        <w:tabs>
          <w:tab w:val="left" w:pos="993"/>
          <w:tab w:val="left" w:pos="1701"/>
          <w:tab w:val="left" w:pos="1985"/>
          <w:tab w:val="left" w:pos="2410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u w:val="single"/>
          <w:lang w:val="nn-NO" w:eastAsia="nb-NO"/>
        </w:rPr>
        <w:t>UT-kode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u w:val="single"/>
          <w:lang w:val="nn-NO" w:eastAsia="nb-NO"/>
        </w:rPr>
        <w:t>NO-koder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</w:p>
    <w:p w:rsidR="00277E90" w:rsidRPr="007D1CC3" w:rsidRDefault="00277E90" w:rsidP="00277E90">
      <w:pPr>
        <w:tabs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12909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1000 + 1020 + 1105 + 1115 + 1130 + 1150 + 11800 + 1160 + 1205 + 1221 + 1280 + 1290 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13329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1312 + 1313 + 1331 + 1332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13409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1320 + 1340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13909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1370 + 1380 + 1390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15309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1500 + 1530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15709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1565 + 1570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18109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1800 + 1810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18409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1830 + 1840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22809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2200 + 2260 + 2280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22909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2250 + 2290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29009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2400 + 2900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29209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= 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2310 + 2920</w:t>
      </w:r>
    </w:p>
    <w:p w:rsidR="00277E90" w:rsidRPr="007D1CC3" w:rsidRDefault="00277E90" w:rsidP="00277E90">
      <w:pPr>
        <w:tabs>
          <w:tab w:val="left" w:pos="993"/>
          <w:tab w:val="left" w:pos="1701"/>
          <w:tab w:val="left" w:pos="2410"/>
          <w:tab w:val="left" w:pos="2694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29909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=</w:t>
      </w:r>
      <w:r w:rsidRPr="007D1CC3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2910 + 2950 + 2990</w:t>
      </w:r>
    </w:p>
    <w:p w:rsidR="00277E90" w:rsidRPr="007D1CC3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D1CC3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-   </w:t>
      </w:r>
      <w:r w:rsidRPr="007D1CC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n-NO" w:eastAsia="nb-NO"/>
        </w:rPr>
        <w:t>Felt 8:</w:t>
      </w:r>
      <w:r w:rsidRPr="007D1CC3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ab/>
      </w:r>
      <w:r w:rsidRPr="007D1C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 xml:space="preserve">Underpost - 2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Koden benyttes for angivelse av om beløpet gjelder gevinst/tap og andre 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avstemmings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poster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under del 8.  Følgende koder benyttes i felt 8 i denne rapporten: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Kode:</w:t>
      </w:r>
    </w:p>
    <w:p w:rsidR="00277E90" w:rsidRPr="00277E90" w:rsidRDefault="00277E90" w:rsidP="00277E90">
      <w:pPr>
        <w:tabs>
          <w:tab w:val="left" w:pos="993"/>
          <w:tab w:val="left" w:pos="141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>00 =</w:t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Ingen underpost</w:t>
      </w:r>
    </w:p>
    <w:p w:rsidR="00277E90" w:rsidRPr="00277E90" w:rsidRDefault="00277E90" w:rsidP="00277E90">
      <w:pPr>
        <w:tabs>
          <w:tab w:val="left" w:pos="993"/>
          <w:tab w:val="left" w:pos="141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50 =</w:t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Salgsgevinster/-tap og urealiserte markedsverdigevinster/-tap</w:t>
      </w:r>
    </w:p>
    <w:p w:rsidR="00277E90" w:rsidRPr="00277E90" w:rsidRDefault="00277E90" w:rsidP="00277E90">
      <w:pPr>
        <w:tabs>
          <w:tab w:val="left" w:pos="993"/>
          <w:tab w:val="left" w:pos="141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70 =</w:t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ab/>
        <w:t>Nedskrivning, tap, gjeldsettergivelse og forhøyelse/nedsettelse av aksjekapital (mot egenkapitalfond).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Klassifikasjonsvariabel 2.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Statistiske kjennetegn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9: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CPA - 6 posisjoner.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Kode for angivelse av tjenestekategori på eksport og import.  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>Benyttes ikke i denne rapporten.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Feltet settes tomt, kun med avsluttende semikolon. </w:t>
      </w:r>
    </w:p>
    <w:p w:rsidR="00277E90" w:rsidRPr="00277E90" w:rsidRDefault="00277E90" w:rsidP="00277E90">
      <w:pPr>
        <w:tabs>
          <w:tab w:val="left" w:pos="1276"/>
          <w:tab w:val="left" w:pos="1985"/>
          <w:tab w:val="left" w:pos="2268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10: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Valuta - 3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ISO-bokstavkode med tre bokstaver for angivelse av valutaslag på fordrings-/gjelds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forhold overfor utlandet.  Koder med forklaring av innholdet finnes i kapittel 2.6. Land- og valutakoder i veiledningen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  <w:tab w:val="left" w:pos="1560"/>
        </w:tabs>
        <w:suppressAutoHyphens/>
        <w:spacing w:after="0" w:line="235" w:lineRule="atLeast"/>
        <w:ind w:left="1418" w:hanging="141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NB!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ab/>
        <w:t xml:space="preserve">Pliktig kun i </w:t>
      </w:r>
      <w:proofErr w:type="spell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årsrapporteringen</w:t>
      </w:r>
      <w:proofErr w:type="spell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.  Dersom foreløpig årsbalanse </w:t>
      </w:r>
      <w:proofErr w:type="spell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valutafordeles</w:t>
      </w:r>
      <w:proofErr w:type="spell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 (4. kvartal), kan spesifikasjonen utelates i årsrapporten.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 kodelistene er det markert i Valuta-feltet om posten skal fordeles eller ikke.  Følgende koder benyttes i kodelisten:</w:t>
      </w:r>
    </w:p>
    <w:p w:rsidR="00277E90" w:rsidRPr="00277E90" w:rsidRDefault="00277E90" w:rsidP="00277E90">
      <w:pPr>
        <w:tabs>
          <w:tab w:val="left" w:pos="1276"/>
          <w:tab w:val="left" w:pos="1843"/>
          <w:tab w:val="left" w:pos="2127"/>
        </w:tabs>
        <w:suppressAutoHyphens/>
        <w:spacing w:after="0" w:line="235" w:lineRule="atLeast"/>
        <w:ind w:left="2127" w:hanging="1134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(V)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Posten </w:t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kan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fordeles på valutaslag ved bruk av ISO-bokstavkoder - dersom rapportørene ønsker samme spesifikasjonsgrad i alle rapportene, eller foretrekker å levere fordelingen i 4.-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lastRenderedPageBreak/>
        <w:t>kvartals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rapporten i stedet for i årsrapporten.  Ønsker ikke rapportøren å fordele posten i kvartalsrapporten benyttes valutakode XXX = Ufordelt, eller feltet settes tomt, kun med avsluttende semikolon (;).  Posten oppgis i norske kroner.</w:t>
      </w:r>
    </w:p>
    <w:p w:rsidR="00277E90" w:rsidRPr="00277E90" w:rsidRDefault="00277E90" w:rsidP="00277E90">
      <w:pPr>
        <w:tabs>
          <w:tab w:val="left" w:pos="1276"/>
          <w:tab w:val="left" w:pos="1843"/>
          <w:tab w:val="left" w:pos="2127"/>
        </w:tabs>
        <w:suppressAutoHyphens/>
        <w:spacing w:after="0" w:line="235" w:lineRule="atLeast"/>
        <w:ind w:left="2127" w:hanging="1134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XXX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Ingen fordeling på valutaslag.  I rapporteringen benyttes XXX (tre X-er), eller feltet settes tomt, kun med avsluttende semikolon (;).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</w:p>
    <w:p w:rsidR="00277E90" w:rsidRPr="00277E90" w:rsidRDefault="00277E90" w:rsidP="00277E90">
      <w:pPr>
        <w:tabs>
          <w:tab w:val="left" w:pos="993"/>
          <w:tab w:val="left" w:pos="1418"/>
        </w:tabs>
        <w:suppressAutoHyphens/>
        <w:spacing w:after="0" w:line="235" w:lineRule="atLeast"/>
        <w:ind w:left="1418" w:hanging="1418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11: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Land - 2 posisjoner.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ISO-bokstavkode med to bokstaver for angivelse av landtilhørighet for motparten i transaksjonen eller fordrings-/</w:t>
      </w:r>
      <w:proofErr w:type="spell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gjeldforholdet</w:t>
      </w:r>
      <w:proofErr w:type="spellEnd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 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>Koder med forklaring av innholdet finnes i kapittel 2.6. Land- og valutakoder i veiledningen.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  <w:tab w:val="left" w:pos="1560"/>
        </w:tabs>
        <w:suppressAutoHyphens/>
        <w:spacing w:after="0" w:line="235" w:lineRule="atLeast"/>
        <w:ind w:left="1418" w:hanging="141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NB!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ab/>
        <w:t xml:space="preserve">Pliktig kun i </w:t>
      </w:r>
      <w:proofErr w:type="spell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årsrapporteringen</w:t>
      </w:r>
      <w:proofErr w:type="spell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.  Dersom landfordeling </w:t>
      </w:r>
      <w:proofErr w:type="gramStart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leveres  i</w:t>
      </w:r>
      <w:proofErr w:type="gramEnd"/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 xml:space="preserve"> 4.-kvartals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softHyphen/>
        <w:t>rapporten, kan spesifikasjonen utelates i årsrapporten.</w:t>
      </w: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uppressAutoHyphens/>
        <w:spacing w:after="0" w:line="235" w:lineRule="atLeast"/>
        <w:ind w:left="993" w:hanging="993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 kodelistene er det markert i Land-feltet om posten skal fordeles eller ikke.  Følgende koder benyttes i kodelisten:</w:t>
      </w:r>
    </w:p>
    <w:p w:rsidR="00277E90" w:rsidRPr="00277E90" w:rsidRDefault="00277E90" w:rsidP="00277E90">
      <w:pPr>
        <w:tabs>
          <w:tab w:val="left" w:pos="993"/>
          <w:tab w:val="left" w:pos="1276"/>
          <w:tab w:val="left" w:pos="1701"/>
          <w:tab w:val="left" w:pos="1985"/>
        </w:tabs>
        <w:suppressAutoHyphens/>
        <w:spacing w:after="0" w:line="235" w:lineRule="atLeast"/>
        <w:ind w:left="1985" w:hanging="992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(L)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Posten </w:t>
      </w:r>
      <w:r w:rsidRPr="00277E90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>kan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fordeles på land ved bruk av ISO-bokstavkoder - dersom rapportørene ønsker samme spesifikasjonsgrad i alle rapportene, eller foretrekker å levere fordelingen i 4.-kvartals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>rapporten i stedet for i årsrapporten.  Ønsker ikke rapportøren å fordele posten i kvartals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softHyphen/>
        <w:t xml:space="preserve">rapporten benyttes landkode XX = Ufordelt, eller feltet settes tomt, kun med avsluttende semikolon (;).  </w:t>
      </w:r>
    </w:p>
    <w:p w:rsidR="00277E90" w:rsidRPr="00277E90" w:rsidRDefault="00277E90" w:rsidP="00277E90">
      <w:pPr>
        <w:tabs>
          <w:tab w:val="left" w:pos="1276"/>
          <w:tab w:val="left" w:pos="1701"/>
          <w:tab w:val="left" w:pos="1985"/>
        </w:tabs>
        <w:suppressAutoHyphens/>
        <w:spacing w:after="0" w:line="235" w:lineRule="atLeast"/>
        <w:ind w:left="1985" w:hanging="992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XX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=</w:t>
      </w:r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Ingen fordeling på land.  I rapporteringen benyttes XX (to X-er), eller feltet settes tomt, kun med avsluttende semikolon (;).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Beløpsvariabel.  </w:t>
      </w:r>
      <w:r w:rsidRPr="00277E9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b-NO"/>
        </w:rPr>
        <w:t>Beløp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-   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Felt</w:t>
      </w:r>
      <w:proofErr w:type="gramEnd"/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 xml:space="preserve"> 12:</w:t>
      </w:r>
      <w:r w:rsidRPr="00277E9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Pr="00277E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 xml:space="preserve">Beløp - 12 posisjoner.  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Beløp skal rapporteres som følger: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I hele tusen kroner.  Eksempelvis skal 1,2 millioner kroner rapporteres som 1200.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Poster i valuta omregnes til norske kroner.  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I del 1 - del 5, samt del 8 og 9, oppgis beløp hittil i år, mens det i del 6 og 7 oppgis beløp pr. siste dato i rapporteringsperioden. 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Alle beløp skal i utgangspunktet rapporteres positivt, med unntak av post 20800.  Tilbakeføringer av inntekter og kostnader under de respektive inntekts- og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kostnads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softHyphen/>
        <w:t>postene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skal ha negativt fortegn.  Det samme gjelder gjelds- og eiendelsposter som er nettoført mot henholdsvis eiendeler og gjeld.  For poster hvor beløpet kan være både inntekt og kostnad, er fortegn angitt i kodelisten.  Dette gjelder poster under del 8 (gevinst/tap og andre avstemmingsposter), samt post 80052 under del 3 i kodelisten.</w:t>
      </w:r>
    </w:p>
    <w:p w:rsidR="00277E90" w:rsidRPr="00277E90" w:rsidRDefault="00277E90" w:rsidP="00277E90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Negative beløp rapporteres med minustegn i posisjonen foran det første sifferet i beløpet.</w:t>
      </w:r>
    </w:p>
    <w:p w:rsidR="00277E90" w:rsidRPr="00277E90" w:rsidRDefault="00277E90" w:rsidP="00277E90">
      <w:pPr>
        <w:suppressAutoHyphens/>
        <w:spacing w:after="0" w:line="235" w:lineRule="atLeast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bookmarkStart w:id="8" w:name="_Toc115062113"/>
      <w:r w:rsidRPr="00277E90"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  <w:t>3. Struktur på fil som skal oversendes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Rapportøren oversender en fil med identifikasjonsvariabel og alle </w:t>
      </w:r>
      <w:proofErr w:type="spell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recorder</w:t>
      </w:r>
      <w:proofErr w:type="spell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 som har beløp. Eksempel på hvordan en fil skal se ut: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Alternativ 1, hvor tomt valuta- og landfelt markerer ingen valuta- eller landfordeling: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999999999;201400;DV;08;E;36;80052;00;;;SE;-200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999999999;201400;DV;08;E;64;18300;00;;USD;US;1500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999999999;201400;DV;08;</w:t>
      </w:r>
      <w:proofErr w:type="gramStart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E;82</w:t>
      </w:r>
      <w:proofErr w:type="gramEnd"/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;13329;70;;;;-500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b-NO"/>
        </w:rPr>
        <w:t>Alternativ 2, hvor XXX og XX markerer ingen valuta- eller landfordeling: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val="de-DE" w:eastAsia="nb-NO"/>
        </w:rPr>
        <w:t>999999999;201400;DV;08;E;</w:t>
      </w: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36;80052;00;;XXX;SE;-200</w:t>
      </w:r>
    </w:p>
    <w:p w:rsidR="00277E90" w:rsidRPr="00F23B4F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val="de-DE" w:eastAsia="nb-NO"/>
        </w:rPr>
        <w:t>999999999;201400;DV;08;E;</w:t>
      </w:r>
      <w:r w:rsidRPr="00F23B4F">
        <w:rPr>
          <w:rFonts w:ascii="Times New Roman" w:eastAsia="Times New Roman" w:hAnsi="Times New Roman" w:cs="Times New Roman"/>
          <w:bCs/>
          <w:sz w:val="20"/>
          <w:szCs w:val="20"/>
          <w:lang w:val="en-US" w:eastAsia="nb-NO"/>
        </w:rPr>
        <w:t>64;18300;00;;USD;US;1500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Cs/>
          <w:sz w:val="20"/>
          <w:szCs w:val="20"/>
          <w:lang w:val="de-DE" w:eastAsia="nb-NO"/>
        </w:rPr>
        <w:t>999999999;201400;DV;08;E;</w:t>
      </w:r>
      <w:r w:rsidRPr="00277E90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82;13329;70;;XXX;XX;-500</w:t>
      </w:r>
    </w:p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  <w:r w:rsidRPr="00277E9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nb-NO"/>
        </w:rPr>
        <w:lastRenderedPageBreak/>
        <w:t xml:space="preserve">Oversendingsrutiner er beskrevet i  kapittel 1.7 i veiledningen.  </w:t>
      </w:r>
    </w:p>
    <w:p w:rsidR="00277E90" w:rsidRPr="00277E90" w:rsidRDefault="00277E90" w:rsidP="00277E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  <w:lang w:eastAsia="nb-NO"/>
        </w:rPr>
      </w:pPr>
    </w:p>
    <w:bookmarkEnd w:id="8"/>
    <w:p w:rsidR="00277E90" w:rsidRPr="00277E90" w:rsidRDefault="00277E90" w:rsidP="00277E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87"/>
        <w:gridCol w:w="2206"/>
        <w:gridCol w:w="567"/>
        <w:gridCol w:w="567"/>
        <w:gridCol w:w="567"/>
        <w:gridCol w:w="567"/>
      </w:tblGrid>
      <w:tr w:rsidR="00277E90" w:rsidRPr="00277E90" w:rsidTr="00452B2E">
        <w:tc>
          <w:tcPr>
            <w:tcW w:w="978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Kodeliste for </w:t>
            </w:r>
            <w:proofErr w:type="spellStart"/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årsrapportering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Gjelder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f.o.m. 01.01.2014</w:t>
            </w:r>
          </w:p>
        </w:tc>
      </w:tr>
      <w:tr w:rsidR="00277E90" w:rsidRPr="00277E90" w:rsidTr="00452B2E">
        <w:trPr>
          <w:cantSplit/>
        </w:trPr>
        <w:tc>
          <w:tcPr>
            <w:tcW w:w="751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1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Bel.var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</w:tr>
      <w:tr w:rsidR="00277E90" w:rsidRPr="00277E90" w:rsidTr="00452B2E">
        <w:tc>
          <w:tcPr>
            <w:tcW w:w="42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6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7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12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Pre-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fiks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Posttekst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Under-post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Tekst på underpost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CPA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Valuta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Land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Beløp i 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 kr.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3. Finansinntekter, finanskostnader og gaver fra/til utlandet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42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03100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Forsikringspremie til forsikringsselskaper i utlandet</w:t>
            </w:r>
          </w:p>
        </w:tc>
        <w:tc>
          <w:tcPr>
            <w:tcW w:w="49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03200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Erstatninger fra forsikringsselskaper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74900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Kontingent og gave til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Renteinntekt fra utenlandske konsernselskaper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renteinntekt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80051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Mottatt utbytte fra utenlandske datter- og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80052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Annen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res.ført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andel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oversk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(+)/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(-) i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datter- 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tilkn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selsk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fellesktrl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virksomhet, samt pos. (+)/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neg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(-) res.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i filialer i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  <w:proofErr w:type="gramEnd"/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80900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Mottatt utbytte og andel av overskudd fra andre utenlandske selskaper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Rentekostnad til utenlandske konsernselskaper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rentekostnad til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81701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Andel av underskudd i andre utenlandske selskaper 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5. Tilgang/avgang av immaterielle eiendeler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04000</w:t>
            </w:r>
          </w:p>
        </w:tc>
        <w:tc>
          <w:tcPr>
            <w:tcW w:w="3827" w:type="dxa"/>
          </w:tcPr>
          <w:p w:rsidR="00277E90" w:rsidRPr="00277E90" w:rsidRDefault="00A61D4F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</w:t>
            </w:r>
            <w:r w:rsidR="00277E90"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jøp av konsesjoner, patenter, lisenser o.l. direkte fra utlending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A61D4F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A61D4F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567" w:type="dxa"/>
            <w:shd w:val="pct5" w:color="auto" w:fill="auto"/>
          </w:tcPr>
          <w:p w:rsidR="00A61D4F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04100</w:t>
            </w:r>
          </w:p>
        </w:tc>
        <w:tc>
          <w:tcPr>
            <w:tcW w:w="3827" w:type="dxa"/>
          </w:tcPr>
          <w:p w:rsidR="00A61D4F" w:rsidRPr="00277E90" w:rsidRDefault="009101CE" w:rsidP="002F28FA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Salg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av konsesjoner, patenter, lisenser o.l. direkte fra utlending</w:t>
            </w:r>
          </w:p>
        </w:tc>
        <w:tc>
          <w:tcPr>
            <w:tcW w:w="496" w:type="dxa"/>
            <w:shd w:val="pct5" w:color="auto" w:fill="auto"/>
          </w:tcPr>
          <w:p w:rsidR="00A61D4F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A61D4F" w:rsidRPr="00277E90" w:rsidRDefault="009101CE" w:rsidP="00723C9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A61D4F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A61D4F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A61D4F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</w:tbl>
    <w:p w:rsidR="001954CD" w:rsidRDefault="001954CD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bookmarkStart w:id="9" w:name="_GoBack"/>
      <w:bookmarkEnd w:id="9"/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6. Fordringer og gjeld overfor utlandet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61 - 63. Anleggsmidler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Forskning og utvikling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Konsesjoner, patenter, lisenser,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varemerker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o.l.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rettigheter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i utlandet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11050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Forretningsbygg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11150</w:t>
            </w:r>
          </w:p>
        </w:tc>
        <w:tc>
          <w:tcPr>
            <w:tcW w:w="3827" w:type="dxa"/>
          </w:tcPr>
          <w:p w:rsidR="00277E90" w:rsidRPr="007D1CC3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7D1CC3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 xml:space="preserve">Bygg og anlegg, hotell o.l. i utlandet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Anlegg, maskiner i form av fast realkapital under utførelse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Tomter og annet grunnareal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11600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Bolig, inkl. boligtomter, hytter mv.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11800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Investeringseiendommer i utlandet</w:t>
            </w:r>
            <w:proofErr w:type="gram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 (for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selsk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.</w:t>
            </w:r>
            <w:proofErr w:type="gram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 som benytter IFRS)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12050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Pers.biler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, maskiner, inventar mv. som er/inngår i fast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realkap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i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  <w:proofErr w:type="gramEnd"/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12210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Skip, rigger mv. som er/inngår i fast realkapital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Kontormaskiner o.l. som er/inngår i fast realkapital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driftsmidler som er/inngår i fast realkapital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13120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Investeringer i utenlandske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deltakerlign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datter- 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konsernselsk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./filialer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13130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andre utenlandske datter- og konsernselskaper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Lån til utenlandske foretak i samme konsern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13310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deltakerlignede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13320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andre utenlandske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13400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Lån til utenlandske tilknyttede selskaper og felles kontrollert virksomhet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aksjer, andeler og verdipapirfondsandeler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Obligasjoner med utenlandsk utsteder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13700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Fordringer mot utenlandske personlige eiere, styremedlemmer mv.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Fordringer på utenlandske ansatte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13900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fordringer på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64. Finansielle omløpsmidler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15000</w:t>
            </w:r>
          </w:p>
        </w:tc>
        <w:tc>
          <w:tcPr>
            <w:tcW w:w="3827" w:type="dxa"/>
          </w:tcPr>
          <w:p w:rsidR="00277E90" w:rsidRPr="00277E90" w:rsidRDefault="009101CE" w:rsidP="00BF586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Kundefordringer på utlandet,</w:t>
            </w: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eksklusive på selskap 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 samme konsern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9101CE" w:rsidP="00BF586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15010</w:t>
            </w:r>
          </w:p>
        </w:tc>
        <w:tc>
          <w:tcPr>
            <w:tcW w:w="3827" w:type="dxa"/>
          </w:tcPr>
          <w:p w:rsidR="00BF586A" w:rsidRPr="00277E90" w:rsidRDefault="009101CE" w:rsidP="00BF586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Kundefordringer på utlandet på selskap i samme konsern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9101CE" w:rsidP="00723C9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9101CE" w:rsidP="00723C9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9101CE" w:rsidP="00723C9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9101CE" w:rsidP="0072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15300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Opptjent, ikke-fakturert driftsinntekt fra utlandet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15600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fordringer på utenlandske selskap i samme konsern (inkl. filialer)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15650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Kortsiktige fordringer på utenlandske personlige eiere,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styremedl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o.l.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15700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kortsiktige fordringer på utlandet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17800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Krav på utlandet knyttet til innbetaling av selskapskapital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18000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Ikke-markedsbaserte utenlandske aksjer og andeler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18100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Markedsbaserte utenlandske aksjer og verdipapirfondsandeler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18300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Markedsbaserte obligasjoner, sertifikater mv. med utenlandsk utsteder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18400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obligasjoner, sertifikater mv. med utenlandsk utsteder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18800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finansielle instrumenter med utenlandsk debitor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64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19200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Bankinnskudd i utlandet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66. Egenkapital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20001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hender; </w:t>
            </w: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hver aksjonær kontrollerer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minst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20002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hender</w:t>
            </w: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; hver aksjonær kontrollerer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under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20003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EK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. hender; hver eier kontrollerer minst </w:t>
            </w:r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 av EK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66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20004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EK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. hender; hver eier kontrollerer under </w:t>
            </w:r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 xml:space="preserve"> av EK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67. Langsiktig gjeld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21300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Derivater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21600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Uopptjent inntekt fra utlandet, knyttet til både varer og tjenester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22000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Konvertible lån fra utlandet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22100</w:t>
            </w:r>
          </w:p>
        </w:tc>
        <w:tc>
          <w:tcPr>
            <w:tcW w:w="3827" w:type="dxa"/>
          </w:tcPr>
          <w:p w:rsidR="00BF586A" w:rsidRPr="007D1CC3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7D1CC3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>Obligasjonslån tatt opp i utlandet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22200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kredittinstitusjoner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lastRenderedPageBreak/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22500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ansatte og personlige eiere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22600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selskap i samme konsern (inkl. filialer i utlandet)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22800</w:t>
            </w:r>
          </w:p>
        </w:tc>
        <w:tc>
          <w:tcPr>
            <w:tcW w:w="3827" w:type="dxa"/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Stille interessentinnskudd og ansvarlig lånekapital fra utlandet</w:t>
            </w:r>
          </w:p>
        </w:tc>
        <w:tc>
          <w:tcPr>
            <w:tcW w:w="496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BF586A" w:rsidRPr="00277E90" w:rsidTr="00452B2E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22900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BF586A" w:rsidRPr="00277E90" w:rsidRDefault="00BF586A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langsiktig gjeld til utlandet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BF586A" w:rsidRPr="00277E90" w:rsidRDefault="00BF586A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BF586A" w:rsidRPr="00277E90" w:rsidRDefault="00BF586A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BF586A" w:rsidRPr="00277E90" w:rsidRDefault="00BF586A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87"/>
        <w:gridCol w:w="2206"/>
        <w:gridCol w:w="567"/>
        <w:gridCol w:w="567"/>
        <w:gridCol w:w="567"/>
        <w:gridCol w:w="567"/>
      </w:tblGrid>
      <w:tr w:rsidR="00277E90" w:rsidRPr="00277E90" w:rsidTr="00452B2E">
        <w:tc>
          <w:tcPr>
            <w:tcW w:w="978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Kodeliste for </w:t>
            </w:r>
            <w:proofErr w:type="spellStart"/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årsrapportering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Gjelder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f.o.m. 01.01.2014</w:t>
            </w:r>
          </w:p>
        </w:tc>
      </w:tr>
      <w:tr w:rsidR="00277E90" w:rsidRPr="00277E90" w:rsidTr="00452B2E">
        <w:trPr>
          <w:cantSplit/>
        </w:trPr>
        <w:tc>
          <w:tcPr>
            <w:tcW w:w="751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1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Bel.var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</w:tr>
      <w:tr w:rsidR="00277E90" w:rsidRPr="00277E90" w:rsidTr="00452B2E">
        <w:tc>
          <w:tcPr>
            <w:tcW w:w="42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6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7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12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Pre-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fiks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Posttekst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Under-post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Tekst på underpost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CPA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Valuta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Land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Beløp i 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 kr.</w:t>
            </w:r>
          </w:p>
        </w:tc>
      </w:tr>
    </w:tbl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sz w:val="1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 xml:space="preserve">6. Fordringer og gjeld overfor </w:t>
      </w:r>
      <w:proofErr w:type="gramStart"/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utlandet  -</w:t>
      </w:r>
      <w:proofErr w:type="gramEnd"/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 xml:space="preserve"> forts.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 xml:space="preserve">68. Kortsiktig gjeld 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Konvertible lån fra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23200</w:t>
            </w:r>
          </w:p>
        </w:tc>
        <w:tc>
          <w:tcPr>
            <w:tcW w:w="3827" w:type="dxa"/>
          </w:tcPr>
          <w:p w:rsidR="00277E90" w:rsidRPr="007D1CC3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7D1CC3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0"/>
                <w:lang w:val="nn-NO" w:eastAsia="nb-NO"/>
              </w:rPr>
              <w:t>Obligasjonslån</w:t>
            </w:r>
            <w:r w:rsidRPr="007D1CC3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 xml:space="preserve"> tatt opp i utlandet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Derivater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Gjeld til utenlandske kredittinstitusjoner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24000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Leverandørgjeld til utlandet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,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ekskl. selskap i samme konsern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24600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Leverandørgjeld til utenlandske selskap i samme konsern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28000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Avsatt utbytte til utenlandske aksjonærer - fordeling pr. 31.12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Forskudd fra utenlandske kunder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ansatte og personlige eiere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Gjeld til utenlandske selskap i samme konsern (inkl. filialer i utlandet)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29490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Lønn, feriepenger o.l. for utenlandske ansatte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Påløpt rente til utenlandske kreditorer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29700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Uopptjent inntekt fra utlandet, knyttet til både varer og tjenester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68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29900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kortsiktig gjeld til utlandet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(V)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7. Spesifikasjon av balanseposter</w:t>
      </w:r>
      <w:r w:rsidRPr="00277E90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nb-NO"/>
        </w:rPr>
        <w:t>1)</w:t>
      </w: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 xml:space="preserve"> og rapportørens totale egenkapital</w:t>
      </w:r>
      <w:r w:rsidRPr="00277E90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nb-NO"/>
        </w:rPr>
        <w:t xml:space="preserve">2)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70.  Spesifikasjon av balanseposter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  <w:t>1)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13509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Markedsverdi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børsnot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anl.aksjer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anl.andeler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i verdipapirfond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76.  Rapportørens totale egenkapital (inkl. aksjekapital/egenkapital på norske hender)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vertAlign w:val="superscript"/>
                <w:lang w:eastAsia="nb-NO"/>
              </w:rPr>
              <w:t xml:space="preserve">2)  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  <w:t xml:space="preserve">       Total innskutt egenkapital  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20000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Aksjekapital/egenkapital andre foretak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Egne aksjer (negativt beløp)/Felleseid andelskapital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20200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Overkurs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7D1CC3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99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20300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Annen innskutt egenkapital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7D1CC3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99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20"/>
                <w:lang w:eastAsia="nb-NO"/>
              </w:rPr>
              <w:t xml:space="preserve">      Total opptjent egenkapital  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20410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Fond for vurderingsforskjeller i deltakerlignede selskap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20420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Fond for vurderingsforskjeller i andre selskap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20450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Fond for urealiserte gevinster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20550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Avsatt utbytte (for selskaper som benytter IFRS)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20590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Annen egenkapital 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76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20800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Udekket tap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8.  Gevinst/tap og andre avstemmingsposter</w:t>
      </w:r>
    </w:p>
    <w:tbl>
      <w:tblPr>
        <w:tblW w:w="1800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87"/>
        <w:gridCol w:w="9"/>
        <w:gridCol w:w="2197"/>
        <w:gridCol w:w="567"/>
        <w:gridCol w:w="567"/>
        <w:gridCol w:w="567"/>
        <w:gridCol w:w="567"/>
        <w:gridCol w:w="567"/>
        <w:gridCol w:w="567"/>
        <w:gridCol w:w="496"/>
        <w:gridCol w:w="2197"/>
        <w:gridCol w:w="2197"/>
        <w:gridCol w:w="2197"/>
      </w:tblGrid>
      <w:tr w:rsidR="00277E90" w:rsidRPr="00277E90" w:rsidTr="00452B2E">
        <w:trPr>
          <w:gridAfter w:val="7"/>
          <w:wAfter w:w="8788" w:type="dxa"/>
          <w:cantSplit/>
        </w:trPr>
        <w:tc>
          <w:tcPr>
            <w:tcW w:w="9214" w:type="dxa"/>
            <w:gridSpan w:val="9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81 - 83. Anleggsmidler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81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12909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Stedfast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 realkapital i utlandet, herunder balanseførte prosjektkostnader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og investeringseiendommer i utlandet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  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Gevinst (+)/tap (-) ved avgang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,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verdi-endring på investeringseiendommer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7D1CC3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Av- og 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452B2E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13329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konsern- og tilknyttede selskaper (inkl. filialer)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Salgsgevinst (+)/-tap (-)</w:t>
            </w:r>
            <w:r w:rsidRPr="00277E90"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  <w:t xml:space="preserve"> 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og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verdijust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452B2E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452B2E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452B2E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82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13409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Lån til utenlandske konsern- og tilknyttede selskaper mv. (inkl. filialer)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452B2E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452B2E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13500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Investeringer i utenlandske aksjer, andeler og verdipapirfondsandeler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(og ev. urealisert)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Obligasjoner med utenlandsk utsteder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(og ev. urealisert)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0D3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pt-PT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13909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Andre langsiktige fordringer på utlandet 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9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84. Finansielle omløpsmidler</w:t>
            </w:r>
          </w:p>
        </w:tc>
        <w:tc>
          <w:tcPr>
            <w:tcW w:w="2197" w:type="dxa"/>
            <w:gridSpan w:val="4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30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Agio (+)/disagio (-) - realisert/urealisert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15309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Kundefordringer og opptjent, ikke fakturert driftsinntekt fra utlandet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15600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Andre fordringer på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selskap i samme konsern (inkl. filialer) 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0D3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15709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korts. fordringer på utlandet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, </w:t>
            </w:r>
            <w:proofErr w:type="gram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inkl. 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utenl</w:t>
            </w:r>
            <w:proofErr w:type="spellEnd"/>
            <w:proofErr w:type="gram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personlige eiere,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styremedl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o.l. 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Nedskrivning, tap, ettergivelse (-)/ reversering av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., tilbakeføring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0D3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18109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Markeds- og ikke-markedsbaserte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aksjer, andeler og VP-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fondsand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og urealisert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0D3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18409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Markeds- og ikke-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markedsbas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obligasj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.,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sert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. mv. med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utsteder</w:t>
            </w: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og urealisert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gridAfter w:val="7"/>
          <w:wAfter w:w="8788" w:type="dxa"/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gridSpan w:val="2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top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6"/>
          <w:wAfter w:w="8221" w:type="dxa"/>
        </w:trPr>
        <w:tc>
          <w:tcPr>
            <w:tcW w:w="9781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Kodeliste for </w:t>
            </w:r>
            <w:proofErr w:type="spellStart"/>
            <w:proofErr w:type="gramStart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>årsrapportering</w:t>
            </w:r>
            <w:proofErr w:type="spell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                                                                                                            Gjelder</w:t>
            </w:r>
            <w:proofErr w:type="gramEnd"/>
            <w:r w:rsidRPr="00277E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nb-NO"/>
              </w:rPr>
              <w:t xml:space="preserve"> f.o.m. 01.01.2014</w:t>
            </w:r>
          </w:p>
        </w:tc>
      </w:tr>
      <w:tr w:rsidR="00277E90" w:rsidRPr="00277E90" w:rsidTr="0045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7087" w:type="dxa"/>
          <w:cantSplit/>
        </w:trPr>
        <w:tc>
          <w:tcPr>
            <w:tcW w:w="7513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1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Klassifikasjonsvariabel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20"/>
                <w:lang w:eastAsia="nb-NO"/>
              </w:rPr>
            </w:pP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Bel.var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45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6"/>
          <w:wAfter w:w="8221" w:type="dxa"/>
        </w:trPr>
        <w:tc>
          <w:tcPr>
            <w:tcW w:w="42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6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7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Under-post Felt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Tekst på underpost Felt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Felt 12</w:t>
            </w:r>
          </w:p>
        </w:tc>
      </w:tr>
      <w:tr w:rsidR="00277E90" w:rsidRPr="00277E90" w:rsidTr="0045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6"/>
          <w:wAfter w:w="8221" w:type="dxa"/>
          <w:cantSplit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Pre-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</w:pP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val="en-US" w:eastAsia="nb-NO"/>
              </w:rPr>
              <w:t>fiks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Posttekst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CPA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Valuta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Land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vertAlign w:val="superscript"/>
                <w:lang w:eastAsia="nb-NO"/>
              </w:rPr>
              <w:t>1)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Beløp i </w:t>
            </w:r>
          </w:p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1000 kr.</w:t>
            </w:r>
          </w:p>
        </w:tc>
      </w:tr>
    </w:tbl>
    <w:p w:rsidR="00277E90" w:rsidRPr="00277E90" w:rsidRDefault="00277E90" w:rsidP="00277E9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</w:p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8.  Gevinst/tap og andre avstemmingsposter, forts.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9214" w:type="dxa"/>
            <w:gridSpan w:val="8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84. Finansielle omløpsmidler - forts.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84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18800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Andre finansielle instrumenter med utenlandsk debitor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50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Realisert og urealisert markedsverdi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softHyphen/>
              <w:t>gevinst (+)/-tap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  <w:trHeight w:val="251"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 (-)/reversering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86. Egenkapital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20001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Aksjekapital/EK på utenlandske hender, hver aksjonær kontrollerer minst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Forhøyelse (+)/nedsettelse (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86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20002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Aksjekapital/EK på utenlandske hender, hver aksjonær kontrollerer under </w:t>
            </w:r>
            <w:proofErr w:type="gram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20%</w:t>
            </w:r>
            <w:proofErr w:type="gram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Forhøyelse (+)/nedsettelse (-)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87. Langsiktig gjeld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22100</w:t>
            </w:r>
          </w:p>
        </w:tc>
        <w:tc>
          <w:tcPr>
            <w:tcW w:w="3827" w:type="dxa"/>
          </w:tcPr>
          <w:p w:rsidR="00277E90" w:rsidRPr="007D1CC3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7D1CC3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>Obligasjonslån tatt opp i utlandet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0D3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22809</w:t>
            </w:r>
          </w:p>
        </w:tc>
        <w:tc>
          <w:tcPr>
            <w:tcW w:w="3827" w:type="dxa"/>
            <w:vMerge w:val="restart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Gjeld til utenlandske selskap i samme konsern, ansvarlig lånekapital mv.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og konvertible lån </w:t>
            </w: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fra utlandet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  <w:vMerge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87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22909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langsiktig gjeld til utlandet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, inkl. gjeld til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utenl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ansatte og personlige eiere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452B2E">
        <w:trPr>
          <w:cantSplit/>
        </w:trPr>
        <w:tc>
          <w:tcPr>
            <w:tcW w:w="9214" w:type="dxa"/>
            <w:gridSpan w:val="8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nb-NO"/>
              </w:rPr>
              <w:t>88. Kortsiktig gjeld</w:t>
            </w:r>
          </w:p>
        </w:tc>
      </w:tr>
      <w:tr w:rsidR="00277E90" w:rsidRPr="007D1CC3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23200</w:t>
            </w:r>
          </w:p>
        </w:tc>
        <w:tc>
          <w:tcPr>
            <w:tcW w:w="3827" w:type="dxa"/>
          </w:tcPr>
          <w:p w:rsidR="00277E90" w:rsidRPr="007D1CC3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  <w:r w:rsidRPr="007D1CC3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val="nn-NO" w:eastAsia="nb-NO"/>
              </w:rPr>
              <w:t xml:space="preserve">Obligasjonslån </w:t>
            </w:r>
            <w:r w:rsidRPr="007D1CC3"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  <w:t xml:space="preserve">tatt opp i utlandet  </w:t>
            </w:r>
          </w:p>
        </w:tc>
        <w:tc>
          <w:tcPr>
            <w:tcW w:w="496" w:type="dxa"/>
            <w:shd w:val="pct5" w:color="auto" w:fill="auto"/>
          </w:tcPr>
          <w:p w:rsidR="00277E90" w:rsidRPr="007D1CC3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2197" w:type="dxa"/>
          </w:tcPr>
          <w:p w:rsidR="00277E90" w:rsidRPr="007D1CC3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7D1CC3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7D1CC3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7D1CC3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7D1CC3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7D1CC3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3827" w:type="dxa"/>
          </w:tcPr>
          <w:p w:rsidR="00277E90" w:rsidRPr="007D1CC3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val="nn-NO"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23800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Gjeld til utenlandske kredittinstitusjoner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29209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Gjeld til utenlandsk selskap i samme konsern </w:t>
            </w:r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og konvertible lån fra </w:t>
            </w:r>
            <w:proofErr w:type="spellStart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>utl</w:t>
            </w:r>
            <w:proofErr w:type="spellEnd"/>
            <w:r w:rsidRPr="00277E90">
              <w:rPr>
                <w:rFonts w:ascii="Arial Narrow" w:eastAsia="Times New Roman" w:hAnsi="Arial Narrow" w:cs="Times New Roman"/>
                <w:bCs/>
                <w:iCs/>
                <w:sz w:val="14"/>
                <w:szCs w:val="20"/>
                <w:lang w:eastAsia="nb-NO"/>
              </w:rPr>
              <w:t xml:space="preserve">. 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</w:p>
        </w:tc>
      </w:tr>
      <w:tr w:rsidR="00277E90" w:rsidRPr="00277E90" w:rsidTr="00452B2E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88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29909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Annen kortsiktig gjeld til utlandet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70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Nedskrivning, ettergivelse (+)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0D3DB4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</w:tbl>
    <w:p w:rsidR="00277E90" w:rsidRPr="00277E90" w:rsidRDefault="00277E90" w:rsidP="00277E90">
      <w:pPr>
        <w:spacing w:after="0" w:line="240" w:lineRule="auto"/>
        <w:ind w:right="-853"/>
        <w:rPr>
          <w:rFonts w:ascii="Arial Narrow" w:eastAsia="Times New Roman" w:hAnsi="Arial Narrow" w:cs="Times New Roman"/>
          <w:b/>
          <w:sz w:val="20"/>
          <w:szCs w:val="20"/>
          <w:lang w:eastAsia="nb-NO"/>
        </w:rPr>
      </w:pPr>
      <w:r w:rsidRPr="00277E90">
        <w:rPr>
          <w:rFonts w:ascii="Arial Narrow" w:eastAsia="Times New Roman" w:hAnsi="Arial Narrow" w:cs="Times New Roman"/>
          <w:b/>
          <w:sz w:val="20"/>
          <w:szCs w:val="20"/>
          <w:lang w:eastAsia="nb-NO"/>
        </w:rPr>
        <w:t>9. Transaksjoner direkte mot egenkapitalfond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827"/>
        <w:gridCol w:w="496"/>
        <w:gridCol w:w="2197"/>
        <w:gridCol w:w="567"/>
        <w:gridCol w:w="567"/>
        <w:gridCol w:w="567"/>
      </w:tblGrid>
      <w:tr w:rsidR="00277E90" w:rsidRPr="00277E90" w:rsidTr="00452B2E">
        <w:trPr>
          <w:cantSplit/>
        </w:trPr>
        <w:tc>
          <w:tcPr>
            <w:tcW w:w="42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06100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Mottatt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aksjonærbidr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kap.overf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fra utenlandske konsernselskaper/filialer</w:t>
            </w:r>
          </w:p>
        </w:tc>
        <w:tc>
          <w:tcPr>
            <w:tcW w:w="496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top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07100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 xml:space="preserve">Utbetalt 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aksjonærbidr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./</w:t>
            </w:r>
            <w:proofErr w:type="spellStart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kap.overf</w:t>
            </w:r>
            <w:proofErr w:type="spellEnd"/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. til utenlandske konsernselskaper/filialer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93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08100</w:t>
            </w:r>
          </w:p>
        </w:tc>
        <w:tc>
          <w:tcPr>
            <w:tcW w:w="382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Utbetalt utbytte til utenlandske konsern- og tilknyttede selskaper</w:t>
            </w:r>
          </w:p>
        </w:tc>
        <w:tc>
          <w:tcPr>
            <w:tcW w:w="496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(L)</w:t>
            </w:r>
          </w:p>
        </w:tc>
      </w:tr>
      <w:tr w:rsidR="00277E90" w:rsidRPr="00277E90" w:rsidTr="00452B2E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93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08200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Utbetalt utbytte til andre utenlandske aksjonærer</w:t>
            </w:r>
          </w:p>
        </w:tc>
        <w:tc>
          <w:tcPr>
            <w:tcW w:w="496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00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277E90" w:rsidRPr="00277E90" w:rsidRDefault="00277E90" w:rsidP="00277E90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277E90" w:rsidRPr="00277E90" w:rsidRDefault="00277E90" w:rsidP="00277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</w:pPr>
            <w:r w:rsidRPr="00277E90">
              <w:rPr>
                <w:rFonts w:ascii="Arial Narrow" w:eastAsia="Times New Roman" w:hAnsi="Arial Narrow" w:cs="Times New Roman"/>
                <w:sz w:val="14"/>
                <w:szCs w:val="20"/>
                <w:lang w:eastAsia="nb-NO"/>
              </w:rPr>
              <w:t>XX</w:t>
            </w:r>
          </w:p>
        </w:tc>
      </w:tr>
    </w:tbl>
    <w:p w:rsidR="00277E90" w:rsidRPr="00277E90" w:rsidRDefault="00277E90" w:rsidP="002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>1)  Frivillig</w:t>
      </w:r>
      <w:proofErr w:type="gramEnd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 xml:space="preserve"> i kvartalsrapporteringen</w:t>
      </w:r>
    </w:p>
    <w:p w:rsidR="00277E90" w:rsidRPr="00277E90" w:rsidRDefault="00277E90" w:rsidP="002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</w:pPr>
      <w:proofErr w:type="gramStart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>2)  Gjelder</w:t>
      </w:r>
      <w:proofErr w:type="gramEnd"/>
      <w:r w:rsidRPr="00277E90">
        <w:rPr>
          <w:rFonts w:ascii="Times New Roman" w:eastAsia="Times New Roman" w:hAnsi="Times New Roman" w:cs="Times New Roman"/>
          <w:b/>
          <w:sz w:val="14"/>
          <w:szCs w:val="20"/>
          <w:lang w:eastAsia="nb-NO"/>
        </w:rPr>
        <w:t xml:space="preserve"> rapportører som har utenlandske aksjonærer. </w:t>
      </w: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  <w:bookmarkStart w:id="10" w:name="_Toc67801439"/>
      <w:bookmarkStart w:id="11" w:name="_Toc70229030"/>
      <w:r w:rsidRPr="00277E90">
        <w:rPr>
          <w:rFonts w:ascii="Times New Roman" w:eastAsia="Times New Roman" w:hAnsi="Times New Roman" w:cs="Times New Roman"/>
          <w:szCs w:val="20"/>
          <w:lang w:eastAsia="nb-NO"/>
        </w:rPr>
        <w:t xml:space="preserve"> </w:t>
      </w:r>
      <w:bookmarkEnd w:id="10"/>
      <w:bookmarkEnd w:id="11"/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p w:rsidR="00277E90" w:rsidRPr="00277E90" w:rsidRDefault="00277E90" w:rsidP="00277E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452B2E" w:rsidRDefault="00452B2E"/>
    <w:sectPr w:rsidR="00452B2E" w:rsidSect="00452B2E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709" w:footer="851" w:gutter="0"/>
      <w:paperSrc w:first="7" w:other="7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2E" w:rsidRDefault="00452B2E">
      <w:pPr>
        <w:spacing w:after="0" w:line="240" w:lineRule="auto"/>
      </w:pPr>
      <w:r>
        <w:separator/>
      </w:r>
    </w:p>
  </w:endnote>
  <w:endnote w:type="continuationSeparator" w:id="0">
    <w:p w:rsidR="00452B2E" w:rsidRDefault="004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2E" w:rsidRDefault="00452B2E">
    <w:pPr>
      <w:pStyle w:val="Bunntekst"/>
      <w:rPr>
        <w:sz w:val="20"/>
      </w:rPr>
    </w:pPr>
    <w: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1954CD">
      <w:rPr>
        <w:rStyle w:val="Sidetall"/>
        <w:noProof/>
        <w:sz w:val="20"/>
      </w:rPr>
      <w:t>9</w:t>
    </w:r>
    <w:r>
      <w:rPr>
        <w:rStyle w:val="Sidetal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2E" w:rsidRDefault="00452B2E">
      <w:pPr>
        <w:spacing w:after="0" w:line="240" w:lineRule="auto"/>
      </w:pPr>
      <w:r>
        <w:separator/>
      </w:r>
    </w:p>
  </w:footnote>
  <w:footnote w:type="continuationSeparator" w:id="0">
    <w:p w:rsidR="00452B2E" w:rsidRDefault="004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2E" w:rsidRDefault="00452B2E">
    <w:pPr>
      <w:pStyle w:val="Topptekst"/>
      <w:pBdr>
        <w:bottom w:val="single" w:sz="6" w:space="1" w:color="auto"/>
      </w:pBdr>
    </w:pPr>
    <w:r>
      <w:rPr>
        <w:b/>
        <w:i/>
      </w:rPr>
      <w:t>Rapporter/kodelister for UT-rapporteringen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2E" w:rsidRDefault="00452B2E">
    <w:pPr>
      <w:pStyle w:val="Topptekst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A1E"/>
    <w:multiLevelType w:val="hybridMultilevel"/>
    <w:tmpl w:val="A1F24E98"/>
    <w:lvl w:ilvl="0" w:tplc="0414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22F00CF7"/>
    <w:multiLevelType w:val="hybridMultilevel"/>
    <w:tmpl w:val="4C0A96FE"/>
    <w:lvl w:ilvl="0" w:tplc="FE9C725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45" w:hanging="360"/>
      </w:pPr>
    </w:lvl>
    <w:lvl w:ilvl="2" w:tplc="0414001B" w:tentative="1">
      <w:start w:val="1"/>
      <w:numFmt w:val="lowerRoman"/>
      <w:lvlText w:val="%3."/>
      <w:lvlJc w:val="right"/>
      <w:pPr>
        <w:ind w:left="1965" w:hanging="180"/>
      </w:pPr>
    </w:lvl>
    <w:lvl w:ilvl="3" w:tplc="0414000F" w:tentative="1">
      <w:start w:val="1"/>
      <w:numFmt w:val="decimal"/>
      <w:lvlText w:val="%4."/>
      <w:lvlJc w:val="left"/>
      <w:pPr>
        <w:ind w:left="2685" w:hanging="360"/>
      </w:pPr>
    </w:lvl>
    <w:lvl w:ilvl="4" w:tplc="04140019" w:tentative="1">
      <w:start w:val="1"/>
      <w:numFmt w:val="lowerLetter"/>
      <w:lvlText w:val="%5."/>
      <w:lvlJc w:val="left"/>
      <w:pPr>
        <w:ind w:left="3405" w:hanging="360"/>
      </w:pPr>
    </w:lvl>
    <w:lvl w:ilvl="5" w:tplc="0414001B" w:tentative="1">
      <w:start w:val="1"/>
      <w:numFmt w:val="lowerRoman"/>
      <w:lvlText w:val="%6."/>
      <w:lvlJc w:val="right"/>
      <w:pPr>
        <w:ind w:left="4125" w:hanging="180"/>
      </w:pPr>
    </w:lvl>
    <w:lvl w:ilvl="6" w:tplc="0414000F" w:tentative="1">
      <w:start w:val="1"/>
      <w:numFmt w:val="decimal"/>
      <w:lvlText w:val="%7."/>
      <w:lvlJc w:val="left"/>
      <w:pPr>
        <w:ind w:left="4845" w:hanging="360"/>
      </w:pPr>
    </w:lvl>
    <w:lvl w:ilvl="7" w:tplc="04140019" w:tentative="1">
      <w:start w:val="1"/>
      <w:numFmt w:val="lowerLetter"/>
      <w:lvlText w:val="%8."/>
      <w:lvlJc w:val="left"/>
      <w:pPr>
        <w:ind w:left="5565" w:hanging="360"/>
      </w:pPr>
    </w:lvl>
    <w:lvl w:ilvl="8" w:tplc="041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21E86"/>
    <w:multiLevelType w:val="hybridMultilevel"/>
    <w:tmpl w:val="A1F24E98"/>
    <w:lvl w:ilvl="0" w:tplc="0414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505931EB"/>
    <w:multiLevelType w:val="hybridMultilevel"/>
    <w:tmpl w:val="A1F24E98"/>
    <w:lvl w:ilvl="0" w:tplc="36828FB6">
      <w:start w:val="1"/>
      <w:numFmt w:val="bullet"/>
      <w:lvlText w:val=""/>
      <w:lvlJc w:val="left"/>
      <w:pPr>
        <w:tabs>
          <w:tab w:val="num" w:pos="1636"/>
        </w:tabs>
        <w:ind w:left="1616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5A437E76"/>
    <w:multiLevelType w:val="hybridMultilevel"/>
    <w:tmpl w:val="C9EAC51A"/>
    <w:lvl w:ilvl="0" w:tplc="42B822E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67CD6F32"/>
    <w:multiLevelType w:val="hybridMultilevel"/>
    <w:tmpl w:val="5CB28C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0"/>
    <w:rsid w:val="00075BE0"/>
    <w:rsid w:val="000D3DB4"/>
    <w:rsid w:val="001954CD"/>
    <w:rsid w:val="00277E90"/>
    <w:rsid w:val="002F28FA"/>
    <w:rsid w:val="003B0A8E"/>
    <w:rsid w:val="00452B2E"/>
    <w:rsid w:val="00455F73"/>
    <w:rsid w:val="00705ADA"/>
    <w:rsid w:val="00757F54"/>
    <w:rsid w:val="007D1CC3"/>
    <w:rsid w:val="009101CE"/>
    <w:rsid w:val="0093054B"/>
    <w:rsid w:val="009875AA"/>
    <w:rsid w:val="00A61D4F"/>
    <w:rsid w:val="00BF586A"/>
    <w:rsid w:val="00CD1C83"/>
    <w:rsid w:val="00E12A59"/>
    <w:rsid w:val="00E538E1"/>
    <w:rsid w:val="00F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E90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7E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7E90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77E90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noProof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77E90"/>
    <w:pPr>
      <w:keepNext/>
      <w:suppressAutoHyphens/>
      <w:spacing w:before="240" w:after="0" w:line="240" w:lineRule="auto"/>
      <w:outlineLvl w:val="4"/>
    </w:pPr>
    <w:rPr>
      <w:rFonts w:ascii="Times New Roman" w:eastAsia="Times New Roman" w:hAnsi="Times New Roman" w:cs="Times New Roman"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77E90"/>
    <w:pPr>
      <w:suppressAutoHyphens/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277E90"/>
    <w:pPr>
      <w:suppressAutoHyphens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277E90"/>
    <w:p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277E90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7E90"/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7E90"/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7E90"/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77E90"/>
    <w:rPr>
      <w:rFonts w:ascii="Times New Roman" w:eastAsia="Times New Roman" w:hAnsi="Times New Roman" w:cs="Times New Roman"/>
      <w:b/>
      <w:noProof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7E90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77E90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77E90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77E90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Ingress">
    <w:name w:val="Ingress"/>
    <w:basedOn w:val="Normal"/>
    <w:next w:val="Normal"/>
    <w:rsid w:val="00277E90"/>
    <w:pPr>
      <w:suppressAutoHyphens/>
      <w:spacing w:after="48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styleId="Sidetall">
    <w:name w:val="page number"/>
    <w:basedOn w:val="Standardskriftforavsnitt"/>
    <w:uiPriority w:val="99"/>
    <w:rsid w:val="00277E90"/>
    <w:rPr>
      <w:rFonts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277E90"/>
    <w:pPr>
      <w:suppressAutoHyphens/>
      <w:spacing w:after="480" w:line="240" w:lineRule="auto"/>
      <w:jc w:val="center"/>
    </w:pPr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7E90"/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styleId="Makrotekst">
    <w:name w:val="macro"/>
    <w:link w:val="MakrotekstTegn"/>
    <w:uiPriority w:val="99"/>
    <w:semiHidden/>
    <w:rsid w:val="00277E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277E90"/>
    <w:pPr>
      <w:spacing w:after="0" w:line="240" w:lineRule="auto"/>
    </w:pPr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77E90"/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277E9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277E9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7E90"/>
    <w:rPr>
      <w:rFonts w:ascii="CG Times (W1)" w:eastAsia="Times New Roman" w:hAnsi="CG Times (W1)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88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1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3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5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760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277E9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77E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90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277E90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77E9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277E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277E9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5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E90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7E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7E90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77E90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noProof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77E90"/>
    <w:pPr>
      <w:keepNext/>
      <w:suppressAutoHyphens/>
      <w:spacing w:before="240" w:after="0" w:line="240" w:lineRule="auto"/>
      <w:outlineLvl w:val="4"/>
    </w:pPr>
    <w:rPr>
      <w:rFonts w:ascii="Times New Roman" w:eastAsia="Times New Roman" w:hAnsi="Times New Roman" w:cs="Times New Roman"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77E90"/>
    <w:pPr>
      <w:suppressAutoHyphens/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277E90"/>
    <w:pPr>
      <w:suppressAutoHyphens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277E90"/>
    <w:p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277E90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7E90"/>
    <w:rPr>
      <w:rFonts w:ascii="Times New Roman" w:eastAsia="Times New Roman" w:hAnsi="Times New Roman" w:cs="Times New Roman"/>
      <w:b/>
      <w:noProof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7E90"/>
    <w:rPr>
      <w:rFonts w:ascii="Times New Roman" w:eastAsia="Times New Roman" w:hAnsi="Times New Roman" w:cs="Times New Roman"/>
      <w:b/>
      <w:noProof/>
      <w:sz w:val="2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7E90"/>
    <w:rPr>
      <w:rFonts w:ascii="Times New Roman" w:eastAsia="Times New Roman" w:hAnsi="Times New Roman" w:cs="Times New Roman"/>
      <w:b/>
      <w:i/>
      <w:noProof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77E90"/>
    <w:rPr>
      <w:rFonts w:ascii="Times New Roman" w:eastAsia="Times New Roman" w:hAnsi="Times New Roman" w:cs="Times New Roman"/>
      <w:b/>
      <w:noProof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7E90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77E90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77E90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77E90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Ingress">
    <w:name w:val="Ingress"/>
    <w:basedOn w:val="Normal"/>
    <w:next w:val="Normal"/>
    <w:rsid w:val="00277E90"/>
    <w:pPr>
      <w:suppressAutoHyphens/>
      <w:spacing w:after="48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styleId="Sidetall">
    <w:name w:val="page number"/>
    <w:basedOn w:val="Standardskriftforavsnitt"/>
    <w:uiPriority w:val="99"/>
    <w:rsid w:val="00277E90"/>
    <w:rPr>
      <w:rFonts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277E90"/>
    <w:pPr>
      <w:suppressAutoHyphens/>
      <w:spacing w:after="480" w:line="240" w:lineRule="auto"/>
      <w:jc w:val="center"/>
    </w:pPr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7E90"/>
    <w:rPr>
      <w:rFonts w:ascii="Arial" w:eastAsia="Times New Roman" w:hAnsi="Arial" w:cs="Times New Roman"/>
      <w:b/>
      <w:kern w:val="28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277E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77E90"/>
    <w:rPr>
      <w:rFonts w:ascii="Times New Roman" w:eastAsia="Times New Roman" w:hAnsi="Times New Roman" w:cs="Times New Roman"/>
      <w:szCs w:val="20"/>
      <w:lang w:eastAsia="nb-NO"/>
    </w:rPr>
  </w:style>
  <w:style w:type="paragraph" w:styleId="Makrotekst">
    <w:name w:val="macro"/>
    <w:link w:val="MakrotekstTegn"/>
    <w:uiPriority w:val="99"/>
    <w:semiHidden/>
    <w:rsid w:val="00277E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77E9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277E90"/>
    <w:pPr>
      <w:spacing w:after="0" w:line="240" w:lineRule="auto"/>
    </w:pPr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77E90"/>
    <w:rPr>
      <w:rFonts w:ascii="Arial Narrow" w:eastAsia="Times New Roman" w:hAnsi="Arial Narrow" w:cs="Times New Roman"/>
      <w:b/>
      <w:i/>
      <w:color w:val="FF0000"/>
      <w:sz w:val="14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277E9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277E9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7E90"/>
    <w:rPr>
      <w:rFonts w:ascii="CG Times (W1)" w:eastAsia="Times New Roman" w:hAnsi="CG Times (W1)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88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1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3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5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277E90"/>
    <w:pPr>
      <w:suppressAutoHyphens/>
      <w:spacing w:after="0" w:line="240" w:lineRule="auto"/>
      <w:ind w:left="1760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277E9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77E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90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277E90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277E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77E9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277E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277E9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5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3798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Statistisk sentralbyrå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Haveråen, Berit</dc:creator>
  <cp:lastModifiedBy>Bjelvert, Malin</cp:lastModifiedBy>
  <cp:revision>14</cp:revision>
  <cp:lastPrinted>2015-08-24T08:42:00Z</cp:lastPrinted>
  <dcterms:created xsi:type="dcterms:W3CDTF">2015-05-18T13:24:00Z</dcterms:created>
  <dcterms:modified xsi:type="dcterms:W3CDTF">2017-01-03T13:00:00Z</dcterms:modified>
</cp:coreProperties>
</file>